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66C8A" w14:textId="77777777" w:rsidR="00907B4D" w:rsidRPr="00907B4D" w:rsidRDefault="00277A2E" w:rsidP="00E636C9">
      <w:pPr>
        <w:jc w:val="left"/>
        <w:rPr>
          <w:rFonts w:ascii="Open Sans" w:hAnsi="Open Sans" w:cs="Open Sans"/>
          <w:b/>
          <w:sz w:val="28"/>
          <w:szCs w:val="28"/>
        </w:rPr>
      </w:pPr>
      <w:bookmarkStart w:id="0" w:name="_GoBack"/>
      <w:bookmarkEnd w:id="0"/>
      <w:proofErr w:type="spellStart"/>
      <w:r>
        <w:rPr>
          <w:rFonts w:ascii="Open Sans" w:hAnsi="Open Sans"/>
          <w:b/>
          <w:sz w:val="28"/>
          <w:szCs w:val="28"/>
        </w:rPr>
        <w:t>Texaid</w:t>
      </w:r>
      <w:proofErr w:type="spellEnd"/>
      <w:r>
        <w:rPr>
          <w:rFonts w:ascii="Open Sans" w:hAnsi="Open Sans"/>
          <w:b/>
          <w:sz w:val="28"/>
          <w:szCs w:val="28"/>
        </w:rPr>
        <w:t xml:space="preserve"> pubblica il suo primo rapporto sulla sostenibilità</w:t>
      </w:r>
    </w:p>
    <w:p w14:paraId="064EC5EC" w14:textId="77777777" w:rsidR="00907B4D" w:rsidRPr="00B24B09" w:rsidRDefault="00907B4D" w:rsidP="00E636C9">
      <w:pPr>
        <w:jc w:val="left"/>
        <w:rPr>
          <w:rFonts w:ascii="Open Sans" w:hAnsi="Open Sans" w:cs="Open Sans"/>
          <w:sz w:val="20"/>
        </w:rPr>
      </w:pPr>
    </w:p>
    <w:p w14:paraId="170BB5C5" w14:textId="77777777" w:rsidR="00277A2E" w:rsidRPr="00277A2E" w:rsidRDefault="00277A2E" w:rsidP="00E636C9">
      <w:pPr>
        <w:pStyle w:val="Listenabsatz"/>
        <w:numPr>
          <w:ilvl w:val="0"/>
          <w:numId w:val="2"/>
        </w:numPr>
        <w:rPr>
          <w:rFonts w:ascii="Open Sans" w:hAnsi="Open Sans" w:cs="Open Sans"/>
          <w:sz w:val="20"/>
        </w:rPr>
      </w:pPr>
      <w:r>
        <w:rPr>
          <w:rFonts w:ascii="Open Sans" w:hAnsi="Open Sans"/>
          <w:sz w:val="20"/>
        </w:rPr>
        <w:t xml:space="preserve">Pubblicazione del rapporto sulla sostenibilità del gruppo </w:t>
      </w:r>
      <w:proofErr w:type="spellStart"/>
      <w:r>
        <w:rPr>
          <w:rFonts w:ascii="Open Sans" w:hAnsi="Open Sans"/>
          <w:sz w:val="20"/>
        </w:rPr>
        <w:t>Texaid</w:t>
      </w:r>
      <w:proofErr w:type="spellEnd"/>
      <w:r>
        <w:rPr>
          <w:rFonts w:ascii="Open Sans" w:hAnsi="Open Sans"/>
          <w:sz w:val="20"/>
        </w:rPr>
        <w:t xml:space="preserve"> per l’esercizio commerciale 2017</w:t>
      </w:r>
    </w:p>
    <w:p w14:paraId="37490189" w14:textId="77777777" w:rsidR="00277A2E" w:rsidRPr="00277A2E" w:rsidRDefault="00277A2E" w:rsidP="00E636C9">
      <w:pPr>
        <w:pStyle w:val="Listenabsatz"/>
        <w:numPr>
          <w:ilvl w:val="0"/>
          <w:numId w:val="2"/>
        </w:numPr>
        <w:rPr>
          <w:rFonts w:ascii="Open Sans" w:hAnsi="Open Sans" w:cs="Open Sans"/>
          <w:sz w:val="20"/>
        </w:rPr>
      </w:pPr>
      <w:r>
        <w:rPr>
          <w:rFonts w:ascii="Open Sans" w:hAnsi="Open Sans"/>
          <w:sz w:val="20"/>
        </w:rPr>
        <w:t xml:space="preserve">Rapporto conforme alle direttive internazionali della Global Reporting </w:t>
      </w:r>
      <w:proofErr w:type="spellStart"/>
      <w:r>
        <w:rPr>
          <w:rFonts w:ascii="Open Sans" w:hAnsi="Open Sans"/>
          <w:sz w:val="20"/>
        </w:rPr>
        <w:t>Initiative</w:t>
      </w:r>
      <w:proofErr w:type="spellEnd"/>
      <w:r>
        <w:rPr>
          <w:rFonts w:ascii="Open Sans" w:hAnsi="Open Sans"/>
          <w:sz w:val="20"/>
        </w:rPr>
        <w:t xml:space="preserve"> (GRI) </w:t>
      </w:r>
    </w:p>
    <w:p w14:paraId="06CCBCBD" w14:textId="77777777" w:rsidR="00277A2E" w:rsidRPr="00277A2E" w:rsidRDefault="00277A2E" w:rsidP="00E636C9">
      <w:pPr>
        <w:pStyle w:val="Listenabsatz"/>
        <w:numPr>
          <w:ilvl w:val="0"/>
          <w:numId w:val="2"/>
        </w:numPr>
        <w:rPr>
          <w:rFonts w:ascii="Open Sans" w:hAnsi="Open Sans" w:cs="Open Sans"/>
          <w:sz w:val="20"/>
        </w:rPr>
      </w:pPr>
      <w:r>
        <w:rPr>
          <w:rFonts w:ascii="Open Sans" w:hAnsi="Open Sans"/>
          <w:sz w:val="20"/>
        </w:rPr>
        <w:t xml:space="preserve">Cinque sfere di attività: gestione economica sostenibile, gestione climatica ed </w:t>
      </w:r>
      <w:proofErr w:type="spellStart"/>
      <w:r>
        <w:rPr>
          <w:rFonts w:ascii="Open Sans" w:hAnsi="Open Sans"/>
          <w:sz w:val="20"/>
        </w:rPr>
        <w:t>ecogestione</w:t>
      </w:r>
      <w:proofErr w:type="spellEnd"/>
      <w:r>
        <w:rPr>
          <w:rFonts w:ascii="Open Sans" w:hAnsi="Open Sans"/>
          <w:sz w:val="20"/>
        </w:rPr>
        <w:t>, impegno sociale, collaboratori e società, ricerca e lavoro in associazioni</w:t>
      </w:r>
    </w:p>
    <w:p w14:paraId="77715B93" w14:textId="77777777" w:rsidR="00277A2E" w:rsidRPr="00277A2E" w:rsidRDefault="00277A2E" w:rsidP="00E636C9">
      <w:pPr>
        <w:jc w:val="left"/>
        <w:rPr>
          <w:rFonts w:ascii="Open Sans" w:hAnsi="Open Sans" w:cs="Open Sans"/>
          <w:b/>
          <w:sz w:val="20"/>
        </w:rPr>
      </w:pPr>
    </w:p>
    <w:p w14:paraId="52D30A17" w14:textId="6D750536" w:rsidR="00907B4D" w:rsidRDefault="00277A2E" w:rsidP="00E636C9">
      <w:pPr>
        <w:jc w:val="left"/>
        <w:rPr>
          <w:rFonts w:ascii="Open Sans" w:hAnsi="Open Sans" w:cs="Open Sans"/>
          <w:b/>
          <w:sz w:val="20"/>
        </w:rPr>
      </w:pPr>
      <w:proofErr w:type="spellStart"/>
      <w:r>
        <w:rPr>
          <w:rFonts w:ascii="Open Sans" w:hAnsi="Open Sans"/>
          <w:b/>
          <w:sz w:val="20"/>
        </w:rPr>
        <w:t>Texaid</w:t>
      </w:r>
      <w:proofErr w:type="spellEnd"/>
      <w:r>
        <w:rPr>
          <w:rFonts w:ascii="Open Sans" w:hAnsi="Open Sans"/>
          <w:b/>
          <w:sz w:val="20"/>
        </w:rPr>
        <w:t xml:space="preserve"> ha pubblicato il suo primo rapporto sulla sostenibilità. Esso riguarda l’attività commerciale dei siti presenti in Svizzera, Germania, Ungheria e Bulgaria dal 1° gennaio al 31 dicembre 2017 e documenta il crescente orientamento alla sostenibilità dell’azienda di riciclaggio dei tessili.</w:t>
      </w:r>
    </w:p>
    <w:p w14:paraId="0536FF95" w14:textId="77777777" w:rsidR="00277A2E" w:rsidRDefault="00277A2E" w:rsidP="00E636C9">
      <w:pPr>
        <w:jc w:val="left"/>
        <w:rPr>
          <w:rFonts w:ascii="Open Sans" w:hAnsi="Open Sans" w:cs="Open Sans"/>
          <w:sz w:val="20"/>
        </w:rPr>
      </w:pPr>
    </w:p>
    <w:p w14:paraId="29F7A7D5" w14:textId="77777777" w:rsidR="00277A2E" w:rsidRDefault="00277A2E" w:rsidP="00E636C9">
      <w:pPr>
        <w:jc w:val="left"/>
        <w:rPr>
          <w:rFonts w:ascii="Open Sans" w:hAnsi="Open Sans" w:cs="Open Sans"/>
          <w:sz w:val="20"/>
        </w:rPr>
      </w:pPr>
      <w:r>
        <w:rPr>
          <w:rFonts w:ascii="Open Sans" w:hAnsi="Open Sans"/>
          <w:sz w:val="20"/>
        </w:rPr>
        <w:t xml:space="preserve">«Con il nostro rapporto sulla sostenibilità che si orienta alle direttive della Global Reporting </w:t>
      </w:r>
      <w:proofErr w:type="spellStart"/>
      <w:r>
        <w:rPr>
          <w:rFonts w:ascii="Open Sans" w:hAnsi="Open Sans"/>
          <w:sz w:val="20"/>
        </w:rPr>
        <w:t>Initiative</w:t>
      </w:r>
      <w:proofErr w:type="spellEnd"/>
      <w:r>
        <w:rPr>
          <w:rFonts w:ascii="Open Sans" w:hAnsi="Open Sans"/>
          <w:sz w:val="20"/>
        </w:rPr>
        <w:t xml:space="preserve"> (GRI), informiamo in modo complessivo e trasparente sui nostri processi di lavoro, sulle misure adottate e sui progressi compiuti lungo la strada verso un’attività commerciale olistica sostenibile», dice Martin </w:t>
      </w:r>
      <w:proofErr w:type="spellStart"/>
      <w:r>
        <w:rPr>
          <w:rFonts w:ascii="Open Sans" w:hAnsi="Open Sans"/>
          <w:sz w:val="20"/>
        </w:rPr>
        <w:t>Böschen</w:t>
      </w:r>
      <w:proofErr w:type="spellEnd"/>
      <w:r>
        <w:rPr>
          <w:rFonts w:ascii="Open Sans" w:hAnsi="Open Sans"/>
          <w:sz w:val="20"/>
        </w:rPr>
        <w:t xml:space="preserve">, CEO del gruppo </w:t>
      </w:r>
      <w:proofErr w:type="spellStart"/>
      <w:r>
        <w:rPr>
          <w:rFonts w:ascii="Open Sans" w:hAnsi="Open Sans"/>
          <w:sz w:val="20"/>
        </w:rPr>
        <w:t>Texaid</w:t>
      </w:r>
      <w:proofErr w:type="spellEnd"/>
      <w:r>
        <w:rPr>
          <w:rFonts w:ascii="Open Sans" w:hAnsi="Open Sans"/>
          <w:sz w:val="20"/>
        </w:rPr>
        <w:t>.</w:t>
      </w:r>
    </w:p>
    <w:p w14:paraId="1CEE72C5" w14:textId="77777777" w:rsidR="00277A2E" w:rsidRPr="00277A2E" w:rsidRDefault="00277A2E" w:rsidP="00E636C9">
      <w:pPr>
        <w:jc w:val="left"/>
        <w:rPr>
          <w:rFonts w:ascii="Open Sans" w:hAnsi="Open Sans" w:cs="Open Sans"/>
          <w:sz w:val="20"/>
        </w:rPr>
      </w:pPr>
    </w:p>
    <w:p w14:paraId="02B5A19F" w14:textId="77777777" w:rsidR="00277A2E" w:rsidRDefault="00277A2E" w:rsidP="00E636C9">
      <w:pPr>
        <w:jc w:val="left"/>
        <w:rPr>
          <w:rFonts w:ascii="Open Sans" w:hAnsi="Open Sans" w:cs="Open Sans"/>
          <w:sz w:val="20"/>
        </w:rPr>
      </w:pPr>
      <w:r>
        <w:rPr>
          <w:rFonts w:ascii="Open Sans" w:hAnsi="Open Sans"/>
          <w:sz w:val="20"/>
        </w:rPr>
        <w:t xml:space="preserve">Il rapporto sulla sostenibilità è indirizzato ai collaboratori, ai clienti, ai partner e agli azionisti di </w:t>
      </w:r>
      <w:proofErr w:type="spellStart"/>
      <w:r>
        <w:rPr>
          <w:rFonts w:ascii="Open Sans" w:hAnsi="Open Sans"/>
          <w:sz w:val="20"/>
        </w:rPr>
        <w:t>Texaid</w:t>
      </w:r>
      <w:proofErr w:type="spellEnd"/>
      <w:r>
        <w:rPr>
          <w:rFonts w:ascii="Open Sans" w:hAnsi="Open Sans"/>
          <w:sz w:val="20"/>
        </w:rPr>
        <w:t xml:space="preserve">, ai responsabili politici e sociali e a tutti gli altri stakeholder interessati a </w:t>
      </w:r>
      <w:proofErr w:type="spellStart"/>
      <w:r>
        <w:rPr>
          <w:rFonts w:ascii="Open Sans" w:hAnsi="Open Sans"/>
          <w:sz w:val="20"/>
        </w:rPr>
        <w:t>Texaid</w:t>
      </w:r>
      <w:proofErr w:type="spellEnd"/>
      <w:r>
        <w:rPr>
          <w:rFonts w:ascii="Open Sans" w:hAnsi="Open Sans"/>
          <w:sz w:val="20"/>
        </w:rPr>
        <w:t xml:space="preserve"> e al suo sviluppo a lungo termine.</w:t>
      </w:r>
    </w:p>
    <w:p w14:paraId="0D061121" w14:textId="77777777" w:rsidR="00277A2E" w:rsidRPr="00277A2E" w:rsidRDefault="00277A2E" w:rsidP="00E636C9">
      <w:pPr>
        <w:jc w:val="left"/>
        <w:rPr>
          <w:rFonts w:ascii="Open Sans" w:hAnsi="Open Sans" w:cs="Open Sans"/>
          <w:sz w:val="20"/>
        </w:rPr>
      </w:pPr>
    </w:p>
    <w:p w14:paraId="3CCBD397" w14:textId="77777777" w:rsidR="00277A2E" w:rsidRPr="00277A2E" w:rsidRDefault="00277A2E" w:rsidP="00E636C9">
      <w:pPr>
        <w:jc w:val="left"/>
        <w:rPr>
          <w:rFonts w:ascii="Open Sans" w:hAnsi="Open Sans" w:cs="Open Sans"/>
          <w:b/>
          <w:sz w:val="20"/>
        </w:rPr>
      </w:pPr>
      <w:r>
        <w:rPr>
          <w:rFonts w:ascii="Open Sans" w:hAnsi="Open Sans"/>
          <w:b/>
          <w:sz w:val="20"/>
        </w:rPr>
        <w:t xml:space="preserve">Analisi degli stakeholder per l’individuazione delle tematiche centrali </w:t>
      </w:r>
    </w:p>
    <w:p w14:paraId="728125F4" w14:textId="77777777" w:rsidR="00277A2E" w:rsidRDefault="00277A2E" w:rsidP="00E636C9">
      <w:pPr>
        <w:jc w:val="left"/>
        <w:rPr>
          <w:rFonts w:ascii="Open Sans" w:hAnsi="Open Sans" w:cs="Open Sans"/>
          <w:sz w:val="20"/>
        </w:rPr>
      </w:pPr>
      <w:r>
        <w:rPr>
          <w:rFonts w:ascii="Open Sans" w:hAnsi="Open Sans"/>
          <w:sz w:val="20"/>
        </w:rPr>
        <w:t xml:space="preserve">Per individuare le tematiche centrali, </w:t>
      </w:r>
      <w:proofErr w:type="spellStart"/>
      <w:r>
        <w:rPr>
          <w:rFonts w:ascii="Open Sans" w:hAnsi="Open Sans"/>
          <w:sz w:val="20"/>
        </w:rPr>
        <w:t>Texaid</w:t>
      </w:r>
      <w:proofErr w:type="spellEnd"/>
      <w:r>
        <w:rPr>
          <w:rFonts w:ascii="Open Sans" w:hAnsi="Open Sans"/>
          <w:sz w:val="20"/>
        </w:rPr>
        <w:t xml:space="preserve"> ha condotto un’analisi di essenzialità. Nel corso di workshop interni, in collaborazione con la società di consulenza Swiss Climate AG e per mezzo di indagini esterne, sono state identificate le tematiche di rilievo per </w:t>
      </w:r>
      <w:proofErr w:type="spellStart"/>
      <w:r>
        <w:rPr>
          <w:rFonts w:ascii="Open Sans" w:hAnsi="Open Sans"/>
          <w:sz w:val="20"/>
        </w:rPr>
        <w:t>Texaid</w:t>
      </w:r>
      <w:proofErr w:type="spellEnd"/>
      <w:r>
        <w:rPr>
          <w:rFonts w:ascii="Open Sans" w:hAnsi="Open Sans"/>
          <w:sz w:val="20"/>
        </w:rPr>
        <w:t xml:space="preserve"> e per i suoi stakeholder in tutti i tre settori della sostenibilità.</w:t>
      </w:r>
    </w:p>
    <w:p w14:paraId="5F99F7F3" w14:textId="77777777" w:rsidR="00277A2E" w:rsidRPr="00277A2E" w:rsidRDefault="00277A2E" w:rsidP="00E636C9">
      <w:pPr>
        <w:jc w:val="left"/>
        <w:rPr>
          <w:rFonts w:ascii="Open Sans" w:hAnsi="Open Sans" w:cs="Open Sans"/>
          <w:sz w:val="20"/>
        </w:rPr>
      </w:pPr>
    </w:p>
    <w:p w14:paraId="30CA1E4A" w14:textId="77777777" w:rsidR="00277A2E" w:rsidRDefault="00277A2E" w:rsidP="00E636C9">
      <w:pPr>
        <w:jc w:val="left"/>
        <w:rPr>
          <w:rFonts w:ascii="Open Sans" w:hAnsi="Open Sans" w:cs="Open Sans"/>
          <w:sz w:val="20"/>
        </w:rPr>
      </w:pPr>
      <w:r>
        <w:rPr>
          <w:rFonts w:ascii="Open Sans" w:hAnsi="Open Sans"/>
          <w:sz w:val="20"/>
        </w:rPr>
        <w:t>Su queste basi, il rapporto abbraccia primariamente obiettivi, strategie, sfere di attività e misure connessi alla gestione della sostenibilità. Ne fanno parte l’incentivazione dei collaboratori, la sicurezza sul lavoro e la tutela della salute, l’efficienza energetica e delle risorse, la gestione climatica e l’</w:t>
      </w:r>
      <w:proofErr w:type="spellStart"/>
      <w:r>
        <w:rPr>
          <w:rFonts w:ascii="Open Sans" w:hAnsi="Open Sans"/>
          <w:sz w:val="20"/>
        </w:rPr>
        <w:t>ecogestione</w:t>
      </w:r>
      <w:proofErr w:type="spellEnd"/>
      <w:r>
        <w:rPr>
          <w:rFonts w:ascii="Open Sans" w:hAnsi="Open Sans"/>
          <w:sz w:val="20"/>
        </w:rPr>
        <w:t xml:space="preserve">, l’impegno sociale e le crescenti attività nei settori della ricerca e del lavoro in associazioni. </w:t>
      </w:r>
      <w:proofErr w:type="spellStart"/>
      <w:r>
        <w:rPr>
          <w:rFonts w:ascii="Open Sans" w:hAnsi="Open Sans"/>
          <w:sz w:val="20"/>
        </w:rPr>
        <w:t>Texaid</w:t>
      </w:r>
      <w:proofErr w:type="spellEnd"/>
      <w:r>
        <w:rPr>
          <w:rFonts w:ascii="Open Sans" w:hAnsi="Open Sans"/>
          <w:sz w:val="20"/>
        </w:rPr>
        <w:t xml:space="preserve"> documenta inoltre i suoi punti di forza e punti deboli e i concetti atti a verificare continuamente la strategia di sostenibilità e a ottimizzarla di conseguenza.</w:t>
      </w:r>
    </w:p>
    <w:p w14:paraId="54F8BDC5" w14:textId="77777777" w:rsidR="00277A2E" w:rsidRPr="00277A2E" w:rsidRDefault="00277A2E" w:rsidP="00E636C9">
      <w:pPr>
        <w:jc w:val="left"/>
        <w:rPr>
          <w:rFonts w:ascii="Open Sans" w:hAnsi="Open Sans" w:cs="Open Sans"/>
          <w:sz w:val="20"/>
        </w:rPr>
      </w:pPr>
    </w:p>
    <w:p w14:paraId="659513F1" w14:textId="77777777" w:rsidR="00277A2E" w:rsidRPr="00277A2E" w:rsidRDefault="00277A2E" w:rsidP="00E636C9">
      <w:pPr>
        <w:jc w:val="left"/>
        <w:rPr>
          <w:rFonts w:ascii="Open Sans" w:hAnsi="Open Sans" w:cs="Open Sans"/>
          <w:b/>
          <w:sz w:val="20"/>
        </w:rPr>
      </w:pPr>
      <w:r>
        <w:rPr>
          <w:rFonts w:ascii="Open Sans" w:hAnsi="Open Sans"/>
          <w:b/>
          <w:sz w:val="20"/>
        </w:rPr>
        <w:t>Maggior trasparenza e sviluppo continuo</w:t>
      </w:r>
    </w:p>
    <w:p w14:paraId="232AFB8A" w14:textId="44F31E2F" w:rsidR="00277A2E" w:rsidRPr="000E0FB1" w:rsidRDefault="00277A2E" w:rsidP="00E636C9">
      <w:pPr>
        <w:jc w:val="left"/>
        <w:rPr>
          <w:rFonts w:ascii="Open Sans" w:hAnsi="Open Sans" w:cs="Open Sans"/>
          <w:sz w:val="20"/>
        </w:rPr>
      </w:pPr>
      <w:r>
        <w:rPr>
          <w:rFonts w:ascii="Open Sans" w:hAnsi="Open Sans"/>
          <w:sz w:val="20"/>
        </w:rPr>
        <w:t xml:space="preserve">«Il nostro obiettivo consiste nel creare continuamente più trasparenza e nell’illustrare in che modo </w:t>
      </w:r>
      <w:proofErr w:type="spellStart"/>
      <w:r>
        <w:rPr>
          <w:rFonts w:ascii="Open Sans" w:hAnsi="Open Sans"/>
          <w:sz w:val="20"/>
        </w:rPr>
        <w:t>Texaid</w:t>
      </w:r>
      <w:proofErr w:type="spellEnd"/>
      <w:r>
        <w:rPr>
          <w:rFonts w:ascii="Open Sans" w:hAnsi="Open Sans"/>
          <w:sz w:val="20"/>
        </w:rPr>
        <w:t xml:space="preserve"> affronta le crescenti sfide e integra e attua le aspettative degli stakeholder nell’azione imprenditoriale», dice Michael Emmenegger, Head of </w:t>
      </w:r>
      <w:bookmarkStart w:id="1" w:name="_Hlk525301883"/>
      <w:r>
        <w:rPr>
          <w:rFonts w:ascii="Open Sans" w:hAnsi="Open Sans"/>
          <w:sz w:val="20"/>
        </w:rPr>
        <w:t>Corporate Development</w:t>
      </w:r>
      <w:bookmarkEnd w:id="1"/>
      <w:r>
        <w:rPr>
          <w:rFonts w:ascii="Open Sans" w:hAnsi="Open Sans"/>
          <w:sz w:val="20"/>
        </w:rPr>
        <w:t xml:space="preserve">. </w:t>
      </w:r>
    </w:p>
    <w:p w14:paraId="4300A1B1" w14:textId="77777777" w:rsidR="00277A2E" w:rsidRPr="00277A2E" w:rsidRDefault="00277A2E" w:rsidP="00E636C9">
      <w:pPr>
        <w:jc w:val="left"/>
        <w:rPr>
          <w:rFonts w:ascii="Open Sans" w:hAnsi="Open Sans" w:cs="Open Sans"/>
          <w:sz w:val="20"/>
        </w:rPr>
      </w:pPr>
    </w:p>
    <w:p w14:paraId="76B8F230" w14:textId="23C20A45" w:rsidR="00277A2E" w:rsidRDefault="00277A2E" w:rsidP="00E636C9">
      <w:pPr>
        <w:jc w:val="left"/>
        <w:rPr>
          <w:rFonts w:ascii="Open Sans" w:hAnsi="Open Sans" w:cs="Open Sans"/>
          <w:sz w:val="20"/>
        </w:rPr>
      </w:pPr>
      <w:r>
        <w:rPr>
          <w:rFonts w:ascii="Open Sans" w:hAnsi="Open Sans"/>
          <w:sz w:val="20"/>
        </w:rPr>
        <w:t>I proventi corrisposti a scopo caritatevole e l’efficienza delle risorse sono i punti chiave dell’analisi.</w:t>
      </w:r>
      <w:r w:rsidR="00FE08FB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/>
          <w:sz w:val="20"/>
        </w:rPr>
        <w:t xml:space="preserve">La rilevanza dei proventi corrisposti a scopo caritatevole è fortemente condizionata dagli enti assistenziali e dal retroscena di fondazione di </w:t>
      </w:r>
      <w:proofErr w:type="spellStart"/>
      <w:r>
        <w:rPr>
          <w:rFonts w:ascii="Open Sans" w:hAnsi="Open Sans"/>
          <w:sz w:val="20"/>
        </w:rPr>
        <w:t>Texaid</w:t>
      </w:r>
      <w:proofErr w:type="spellEnd"/>
      <w:r>
        <w:rPr>
          <w:rFonts w:ascii="Open Sans" w:hAnsi="Open Sans"/>
          <w:sz w:val="20"/>
        </w:rPr>
        <w:t xml:space="preserve">. Il rapporto sulla sostenibilità focalizza in particolare sull’attività commerciali in Svizzera e in Germania, prendendo in considerazione i corrispondenti indicatori GRI. Si prevede di estendere il rapporto gradualmente agli altri siti, in conformità alle direttive GRI. </w:t>
      </w:r>
    </w:p>
    <w:p w14:paraId="30301317" w14:textId="447262E3" w:rsidR="00277A2E" w:rsidRDefault="00277A2E" w:rsidP="00E636C9">
      <w:pPr>
        <w:jc w:val="left"/>
        <w:rPr>
          <w:rFonts w:ascii="Open Sans" w:hAnsi="Open Sans" w:cs="Open Sans"/>
          <w:sz w:val="20"/>
        </w:rPr>
      </w:pPr>
    </w:p>
    <w:p w14:paraId="7348777A" w14:textId="3E1C7B6E" w:rsidR="00FE08FB" w:rsidRDefault="00FE08FB" w:rsidP="00E636C9">
      <w:pPr>
        <w:jc w:val="left"/>
        <w:rPr>
          <w:rFonts w:ascii="Open Sans" w:hAnsi="Open Sans" w:cs="Open Sans"/>
          <w:sz w:val="20"/>
        </w:rPr>
      </w:pPr>
    </w:p>
    <w:p w14:paraId="65B80B64" w14:textId="6099F2C3" w:rsidR="00FE08FB" w:rsidRDefault="00FE08FB" w:rsidP="00E636C9">
      <w:pPr>
        <w:jc w:val="left"/>
        <w:rPr>
          <w:rFonts w:ascii="Open Sans" w:hAnsi="Open Sans" w:cs="Open Sans"/>
          <w:sz w:val="20"/>
        </w:rPr>
      </w:pPr>
    </w:p>
    <w:p w14:paraId="0D031136" w14:textId="77777777" w:rsidR="00FE08FB" w:rsidRPr="00277A2E" w:rsidRDefault="00FE08FB" w:rsidP="00E636C9">
      <w:pPr>
        <w:jc w:val="left"/>
        <w:rPr>
          <w:rFonts w:ascii="Open Sans" w:hAnsi="Open Sans" w:cs="Open Sans"/>
          <w:sz w:val="20"/>
        </w:rPr>
      </w:pPr>
    </w:p>
    <w:p w14:paraId="5A3C2BC9" w14:textId="1315BFF9" w:rsidR="00907B4D" w:rsidRDefault="00A9225D" w:rsidP="00E636C9">
      <w:pPr>
        <w:jc w:val="left"/>
        <w:rPr>
          <w:rFonts w:ascii="Open Sans" w:hAnsi="Open Sans" w:cs="Open Sans"/>
          <w:sz w:val="20"/>
        </w:rPr>
      </w:pPr>
      <w:r>
        <w:rPr>
          <w:rFonts w:ascii="Open Sans" w:hAnsi="Open Sans"/>
          <w:sz w:val="20"/>
        </w:rPr>
        <w:t xml:space="preserve">Il </w:t>
      </w:r>
      <w:bookmarkStart w:id="2" w:name="_Hlk525812708"/>
      <w:r>
        <w:rPr>
          <w:rFonts w:ascii="Open Sans" w:hAnsi="Open Sans"/>
          <w:sz w:val="20"/>
        </w:rPr>
        <w:t xml:space="preserve">rapporto sulla sostenibilità </w:t>
      </w:r>
      <w:bookmarkEnd w:id="2"/>
      <w:r>
        <w:rPr>
          <w:rFonts w:ascii="Open Sans" w:hAnsi="Open Sans"/>
          <w:sz w:val="20"/>
        </w:rPr>
        <w:t xml:space="preserve">è richiamabile nel sito web di </w:t>
      </w:r>
      <w:proofErr w:type="spellStart"/>
      <w:r>
        <w:rPr>
          <w:rFonts w:ascii="Open Sans" w:hAnsi="Open Sans"/>
          <w:sz w:val="20"/>
        </w:rPr>
        <w:t>Texaid</w:t>
      </w:r>
      <w:proofErr w:type="spellEnd"/>
      <w:r>
        <w:rPr>
          <w:rFonts w:ascii="Open Sans" w:hAnsi="Open Sans"/>
          <w:sz w:val="20"/>
        </w:rPr>
        <w:t xml:space="preserve"> all’indirizzo </w:t>
      </w:r>
      <w:hyperlink r:id="rId8" w:history="1">
        <w:r w:rsidR="00FE08FB" w:rsidRPr="00FE08FB">
          <w:rPr>
            <w:rStyle w:val="Hyperlink"/>
            <w:rFonts w:ascii="Open Sans" w:hAnsi="Open Sans"/>
            <w:sz w:val="20"/>
          </w:rPr>
          <w:t>www.texaid.de/nachhaltigkeitsbericht-2017</w:t>
        </w:r>
      </w:hyperlink>
      <w:r w:rsidR="00FE08FB">
        <w:rPr>
          <w:rFonts w:ascii="Open Sans" w:hAnsi="Open Sans"/>
          <w:sz w:val="20"/>
        </w:rPr>
        <w:t xml:space="preserve"> (in </w:t>
      </w:r>
      <w:proofErr w:type="gramStart"/>
      <w:r w:rsidR="00FE08FB">
        <w:rPr>
          <w:rFonts w:ascii="Open Sans" w:hAnsi="Open Sans"/>
          <w:sz w:val="20"/>
        </w:rPr>
        <w:t>lingua tedesca</w:t>
      </w:r>
      <w:proofErr w:type="gramEnd"/>
      <w:r w:rsidR="00FE08FB">
        <w:rPr>
          <w:rFonts w:ascii="Open Sans" w:hAnsi="Open Sans"/>
          <w:sz w:val="20"/>
        </w:rPr>
        <w:t>)</w:t>
      </w:r>
      <w:r w:rsidR="00FE08FB" w:rsidRPr="00FE08FB">
        <w:rPr>
          <w:rFonts w:ascii="Open Sans" w:hAnsi="Open Sans"/>
          <w:sz w:val="20"/>
        </w:rPr>
        <w:t xml:space="preserve"> </w:t>
      </w:r>
      <w:bookmarkStart w:id="3" w:name="_Hlk525812740"/>
      <w:r>
        <w:rPr>
          <w:rFonts w:ascii="Open Sans" w:hAnsi="Open Sans"/>
          <w:sz w:val="20"/>
        </w:rPr>
        <w:t>e può essere anche richiesto nella versione cartacea.</w:t>
      </w:r>
    </w:p>
    <w:bookmarkEnd w:id="3"/>
    <w:p w14:paraId="3AAFED82" w14:textId="49B80D72" w:rsidR="00B8663D" w:rsidRDefault="00B8663D" w:rsidP="00E636C9">
      <w:pPr>
        <w:jc w:val="left"/>
        <w:rPr>
          <w:rFonts w:ascii="Open Sans" w:hAnsi="Open Sans" w:cs="Open Sans"/>
          <w:sz w:val="20"/>
        </w:rPr>
      </w:pPr>
    </w:p>
    <w:p w14:paraId="34E8BD89" w14:textId="77777777" w:rsidR="00FE08FB" w:rsidRPr="00F2343E" w:rsidRDefault="00FE08FB" w:rsidP="00E636C9">
      <w:pPr>
        <w:jc w:val="left"/>
        <w:rPr>
          <w:rFonts w:ascii="Open Sans" w:hAnsi="Open Sans" w:cs="Open Sans"/>
          <w:sz w:val="20"/>
        </w:rPr>
      </w:pPr>
    </w:p>
    <w:p w14:paraId="5168A6D8" w14:textId="6F90DF63" w:rsidR="00907B4D" w:rsidRPr="00B24B09" w:rsidRDefault="00907B4D" w:rsidP="00E63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Open Sans" w:eastAsia="Calibri" w:hAnsi="Open Sans" w:cs="Open Sans"/>
          <w:sz w:val="20"/>
        </w:rPr>
      </w:pPr>
      <w:proofErr w:type="spellStart"/>
      <w:r>
        <w:rPr>
          <w:rFonts w:ascii="Open Sans" w:hAnsi="Open Sans"/>
          <w:bCs/>
          <w:sz w:val="20"/>
        </w:rPr>
        <w:t>Texaid</w:t>
      </w:r>
      <w:proofErr w:type="spellEnd"/>
      <w:r>
        <w:rPr>
          <w:rFonts w:ascii="Open Sans" w:hAnsi="Open Sans"/>
          <w:sz w:val="20"/>
        </w:rPr>
        <w:t xml:space="preserve"> è stata fondata nel 1978 come Charity Private Partnership di sei enti assistenziali svizzeri (CRS, Soccorso d’inverno, Solidar, Caritas, </w:t>
      </w:r>
      <w:proofErr w:type="spellStart"/>
      <w:r>
        <w:rPr>
          <w:rFonts w:ascii="Open Sans" w:hAnsi="Open Sans"/>
          <w:sz w:val="20"/>
        </w:rPr>
        <w:t>Kolping</w:t>
      </w:r>
      <w:proofErr w:type="spellEnd"/>
      <w:r>
        <w:rPr>
          <w:rFonts w:ascii="Open Sans" w:hAnsi="Open Sans"/>
          <w:sz w:val="20"/>
        </w:rPr>
        <w:t xml:space="preserve">, ACES) insieme a un’azienda privata. Con sede principale nel Cantone Uri e filiali in Germania, Austria, Bulgaria, Ungheria e Marocco, l’azienda è una delle società leader nel riciclaggio di tessili in Europa. </w:t>
      </w:r>
      <w:proofErr w:type="spellStart"/>
      <w:r>
        <w:rPr>
          <w:rFonts w:ascii="Open Sans" w:hAnsi="Open Sans"/>
          <w:sz w:val="20"/>
        </w:rPr>
        <w:t>Texaid</w:t>
      </w:r>
      <w:proofErr w:type="spellEnd"/>
      <w:r>
        <w:rPr>
          <w:rFonts w:ascii="Open Sans" w:hAnsi="Open Sans"/>
          <w:sz w:val="20"/>
        </w:rPr>
        <w:t xml:space="preserve"> dispone in Svizzera di un sistema di gestione della qualità e di </w:t>
      </w:r>
      <w:proofErr w:type="spellStart"/>
      <w:r>
        <w:rPr>
          <w:rFonts w:ascii="Open Sans" w:hAnsi="Open Sans"/>
          <w:sz w:val="20"/>
        </w:rPr>
        <w:t>ecogestione</w:t>
      </w:r>
      <w:proofErr w:type="spellEnd"/>
      <w:r>
        <w:rPr>
          <w:rFonts w:ascii="Open Sans" w:hAnsi="Open Sans"/>
          <w:sz w:val="20"/>
        </w:rPr>
        <w:t xml:space="preserve"> con certificazione ISO (ISO 9001 e ISO 14</w:t>
      </w:r>
      <w:r w:rsidR="0088139C">
        <w:rPr>
          <w:rFonts w:ascii="Open Sans" w:hAnsi="Open Sans"/>
          <w:sz w:val="20"/>
        </w:rPr>
        <w:t xml:space="preserve"> </w:t>
      </w:r>
      <w:r>
        <w:rPr>
          <w:rFonts w:ascii="Open Sans" w:hAnsi="Open Sans"/>
          <w:sz w:val="20"/>
        </w:rPr>
        <w:t>001) ed è stata insignita dalla Swiss Climate AG del sigillo di qualità «CO</w:t>
      </w:r>
      <w:r>
        <w:rPr>
          <w:rFonts w:ascii="Open Sans" w:hAnsi="Open Sans"/>
          <w:sz w:val="20"/>
          <w:vertAlign w:val="subscript"/>
        </w:rPr>
        <w:t>2</w:t>
      </w:r>
      <w:r>
        <w:rPr>
          <w:rFonts w:ascii="Open Sans" w:hAnsi="Open Sans"/>
          <w:sz w:val="20"/>
        </w:rPr>
        <w:t xml:space="preserve"> Neutrale». A livello di gruppo, </w:t>
      </w:r>
      <w:proofErr w:type="spellStart"/>
      <w:r>
        <w:rPr>
          <w:rFonts w:ascii="Open Sans" w:hAnsi="Open Sans"/>
          <w:sz w:val="20"/>
        </w:rPr>
        <w:t>Texaid</w:t>
      </w:r>
      <w:proofErr w:type="spellEnd"/>
      <w:r>
        <w:rPr>
          <w:rFonts w:ascii="Open Sans" w:hAnsi="Open Sans"/>
          <w:sz w:val="20"/>
        </w:rPr>
        <w:t xml:space="preserve"> occupa oltre 1000 collaboratori.</w:t>
      </w:r>
    </w:p>
    <w:p w14:paraId="36D58ABB" w14:textId="77777777" w:rsidR="00907B4D" w:rsidRDefault="00907B4D" w:rsidP="00E636C9">
      <w:pPr>
        <w:ind w:right="424"/>
        <w:jc w:val="left"/>
        <w:rPr>
          <w:rFonts w:ascii="Open Sans" w:hAnsi="Open Sans" w:cs="Open Sans"/>
          <w:sz w:val="20"/>
          <w:lang w:val="x-none"/>
        </w:rPr>
      </w:pPr>
    </w:p>
    <w:p w14:paraId="3937EEBE" w14:textId="77777777" w:rsidR="00907B4D" w:rsidRDefault="00907B4D" w:rsidP="00E636C9">
      <w:pPr>
        <w:ind w:right="424"/>
        <w:jc w:val="left"/>
        <w:rPr>
          <w:rFonts w:ascii="Open Sans" w:hAnsi="Open Sans" w:cs="Open Sans"/>
          <w:sz w:val="20"/>
          <w:lang w:val="x-none"/>
        </w:rPr>
      </w:pPr>
    </w:p>
    <w:p w14:paraId="31CEBB74" w14:textId="77777777" w:rsidR="00907B4D" w:rsidRPr="00B24B09" w:rsidRDefault="00907B4D" w:rsidP="00E636C9">
      <w:pPr>
        <w:ind w:right="424"/>
        <w:jc w:val="left"/>
        <w:rPr>
          <w:rFonts w:ascii="Open Sans" w:hAnsi="Open Sans" w:cs="Open Sans"/>
          <w:sz w:val="20"/>
          <w:lang w:val="x-none"/>
        </w:rPr>
      </w:pPr>
    </w:p>
    <w:p w14:paraId="62FA0F1B" w14:textId="460FA998" w:rsidR="00907B4D" w:rsidRDefault="00907B4D" w:rsidP="00E636C9">
      <w:pPr>
        <w:ind w:right="424"/>
        <w:jc w:val="left"/>
        <w:rPr>
          <w:rFonts w:ascii="Open Sans" w:hAnsi="Open Sans" w:cs="Open Sans"/>
          <w:b/>
          <w:sz w:val="20"/>
        </w:rPr>
      </w:pPr>
      <w:r>
        <w:rPr>
          <w:rFonts w:ascii="Open Sans" w:hAnsi="Open Sans"/>
          <w:b/>
          <w:sz w:val="20"/>
        </w:rPr>
        <w:t>Per ulteriori informazioni:</w:t>
      </w:r>
    </w:p>
    <w:p w14:paraId="6598C996" w14:textId="77777777" w:rsidR="00BB3988" w:rsidRPr="007F68A2" w:rsidRDefault="00BB3988" w:rsidP="00E636C9">
      <w:pPr>
        <w:ind w:right="424"/>
        <w:jc w:val="left"/>
        <w:rPr>
          <w:rFonts w:ascii="Open Sans" w:hAnsi="Open Sans" w:cs="Open Sans"/>
          <w:b/>
          <w:sz w:val="20"/>
        </w:rPr>
      </w:pPr>
    </w:p>
    <w:p w14:paraId="2E2260F7" w14:textId="5C2CE838" w:rsidR="00907B4D" w:rsidRPr="000E0FB1" w:rsidRDefault="00907B4D" w:rsidP="00E636C9">
      <w:pPr>
        <w:ind w:right="424"/>
        <w:jc w:val="left"/>
        <w:rPr>
          <w:rFonts w:ascii="Open Sans" w:hAnsi="Open Sans" w:cs="Open Sans"/>
          <w:sz w:val="20"/>
        </w:rPr>
      </w:pPr>
      <w:r>
        <w:rPr>
          <w:rFonts w:ascii="Open Sans" w:hAnsi="Open Sans"/>
          <w:sz w:val="20"/>
        </w:rPr>
        <w:t xml:space="preserve">Ufficio stampa </w:t>
      </w:r>
    </w:p>
    <w:p w14:paraId="1CA09F13" w14:textId="317A6519" w:rsidR="00907B4D" w:rsidRPr="000E0FB1" w:rsidRDefault="00907B4D" w:rsidP="00E636C9">
      <w:pPr>
        <w:ind w:right="424"/>
        <w:jc w:val="left"/>
        <w:rPr>
          <w:rStyle w:val="Hyperlink"/>
          <w:rFonts w:ascii="Open Sans" w:hAnsi="Open Sans" w:cs="Open Sans"/>
          <w:sz w:val="20"/>
        </w:rPr>
      </w:pPr>
      <w:r>
        <w:rPr>
          <w:rFonts w:ascii="Open Sans" w:hAnsi="Open Sans"/>
          <w:sz w:val="20"/>
        </w:rPr>
        <w:t xml:space="preserve">E-mail: </w:t>
      </w:r>
      <w:hyperlink r:id="rId9" w:history="1">
        <w:r>
          <w:rPr>
            <w:rStyle w:val="Hyperlink"/>
            <w:rFonts w:ascii="Open Sans" w:hAnsi="Open Sans"/>
            <w:sz w:val="20"/>
          </w:rPr>
          <w:t>pressestelle@texaid.ch</w:t>
        </w:r>
      </w:hyperlink>
    </w:p>
    <w:p w14:paraId="3F852F3F" w14:textId="30811654" w:rsidR="00BB3988" w:rsidRPr="000E0FB1" w:rsidRDefault="00BB3988" w:rsidP="00E636C9">
      <w:pPr>
        <w:ind w:right="424"/>
        <w:jc w:val="left"/>
        <w:rPr>
          <w:rFonts w:ascii="Open Sans" w:hAnsi="Open Sans" w:cs="Open Sans"/>
          <w:sz w:val="20"/>
        </w:rPr>
      </w:pPr>
    </w:p>
    <w:p w14:paraId="634259BF" w14:textId="7B21D673" w:rsidR="00BB3988" w:rsidRPr="00FE08FB" w:rsidRDefault="00BB3988" w:rsidP="00E636C9">
      <w:pPr>
        <w:ind w:right="424"/>
        <w:jc w:val="left"/>
        <w:rPr>
          <w:rFonts w:ascii="Open Sans" w:hAnsi="Open Sans" w:cs="Open Sans"/>
          <w:sz w:val="20"/>
          <w:lang w:val="en-US"/>
        </w:rPr>
      </w:pPr>
      <w:r w:rsidRPr="00FE08FB">
        <w:rPr>
          <w:rFonts w:ascii="Open Sans" w:hAnsi="Open Sans"/>
          <w:sz w:val="20"/>
          <w:lang w:val="en-US"/>
        </w:rPr>
        <w:t>Corporate Development</w:t>
      </w:r>
    </w:p>
    <w:p w14:paraId="06379219" w14:textId="6761CEF9" w:rsidR="00BB3988" w:rsidRPr="00FE08FB" w:rsidRDefault="00BB3988" w:rsidP="00E636C9">
      <w:pPr>
        <w:ind w:right="424"/>
        <w:jc w:val="left"/>
        <w:rPr>
          <w:rFonts w:ascii="Open Sans" w:hAnsi="Open Sans" w:cs="Open Sans"/>
          <w:sz w:val="20"/>
          <w:lang w:val="en-US"/>
        </w:rPr>
      </w:pPr>
      <w:r w:rsidRPr="00FE08FB">
        <w:rPr>
          <w:rFonts w:ascii="Open Sans" w:hAnsi="Open Sans"/>
          <w:sz w:val="20"/>
          <w:lang w:val="en-US"/>
        </w:rPr>
        <w:t xml:space="preserve">E-mail: </w:t>
      </w:r>
      <w:hyperlink r:id="rId10" w:history="1">
        <w:r w:rsidRPr="00FE08FB">
          <w:rPr>
            <w:rStyle w:val="Hyperlink"/>
            <w:rFonts w:ascii="Open Sans" w:hAnsi="Open Sans"/>
            <w:sz w:val="20"/>
            <w:lang w:val="en-US"/>
          </w:rPr>
          <w:t>sustainability@texaid.ch</w:t>
        </w:r>
      </w:hyperlink>
    </w:p>
    <w:p w14:paraId="63813972" w14:textId="77777777" w:rsidR="00BB3988" w:rsidRPr="00FE08FB" w:rsidRDefault="00BB3988" w:rsidP="00E636C9">
      <w:pPr>
        <w:ind w:right="424"/>
        <w:jc w:val="left"/>
        <w:rPr>
          <w:rFonts w:ascii="Open Sans" w:hAnsi="Open Sans" w:cs="Open Sans"/>
          <w:sz w:val="20"/>
          <w:lang w:val="en-US"/>
        </w:rPr>
      </w:pPr>
    </w:p>
    <w:sectPr w:rsidR="00BB3988" w:rsidRPr="00FE08FB" w:rsidSect="002A1394">
      <w:headerReference w:type="default" r:id="rId11"/>
      <w:footerReference w:type="default" r:id="rId12"/>
      <w:pgSz w:w="11906" w:h="16838"/>
      <w:pgMar w:top="3119" w:right="851" w:bottom="85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1D410" w14:textId="77777777" w:rsidR="007A70FF" w:rsidRDefault="007A70FF" w:rsidP="000A6539">
      <w:r>
        <w:separator/>
      </w:r>
    </w:p>
  </w:endnote>
  <w:endnote w:type="continuationSeparator" w:id="0">
    <w:p w14:paraId="359C4B77" w14:textId="77777777" w:rsidR="007A70FF" w:rsidRDefault="007A70FF" w:rsidP="000A6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Arial"/>
    <w:charset w:val="00"/>
    <w:family w:val="auto"/>
    <w:pitch w:val="variable"/>
    <w:sig w:usb0="00000000" w:usb1="00000000" w:usb2="00000000" w:usb3="00000000" w:csb0="000001F7" w:csb1="00000000"/>
  </w:font>
  <w:font w:name="Open Sans">
    <w:panose1 w:val="020B08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E62DD7" w14:textId="77777777" w:rsidR="00CC611F" w:rsidRPr="00D91A1D" w:rsidRDefault="00CC611F" w:rsidP="00E51FB3">
    <w:pPr>
      <w:pStyle w:val="Fuzeile"/>
      <w:rPr>
        <w:rStyle w:val="Seitenzahl"/>
        <w:rFonts w:asciiTheme="majorHAnsi" w:hAnsiTheme="majorHAnsi" w:cstheme="majorHAnsi"/>
        <w:sz w:val="14"/>
        <w:szCs w:val="14"/>
      </w:rPr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CC402EA" wp14:editId="16B0962B">
              <wp:simplePos x="0" y="0"/>
              <wp:positionH relativeFrom="page">
                <wp:posOffset>617855</wp:posOffset>
              </wp:positionH>
              <wp:positionV relativeFrom="page">
                <wp:posOffset>10093325</wp:posOffset>
              </wp:positionV>
              <wp:extent cx="6480000" cy="0"/>
              <wp:effectExtent l="0" t="0" r="35560" b="19050"/>
              <wp:wrapNone/>
              <wp:docPr id="2" name="Lin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6BD9ED5" id="Line 3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48.65pt,794.75pt" to="558.9pt,7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" strokecolor="gray [1629]">
              <w10:wrap anchorx="page" anchory="page"/>
            </v:line>
          </w:pict>
        </mc:Fallback>
      </mc:AlternateContent>
    </w:r>
    <w:r>
      <w:rPr>
        <w:rFonts w:asciiTheme="majorHAnsi" w:hAnsiTheme="majorHAnsi"/>
        <w:sz w:val="14"/>
        <w:szCs w:val="14"/>
      </w:rPr>
      <w:tab/>
    </w:r>
    <w:r>
      <w:rPr>
        <w:rFonts w:asciiTheme="majorHAnsi" w:hAnsiTheme="majorHAnsi"/>
        <w:sz w:val="14"/>
        <w:szCs w:val="14"/>
      </w:rPr>
      <w:tab/>
    </w:r>
    <w:r>
      <w:rPr>
        <w:rFonts w:asciiTheme="majorHAnsi" w:hAnsiTheme="majorHAnsi"/>
        <w:sz w:val="14"/>
        <w:szCs w:val="14"/>
      </w:rPr>
      <w:tab/>
    </w:r>
    <w:r w:rsidRPr="00D91A1D">
      <w:rPr>
        <w:rStyle w:val="Seitenzahl"/>
        <w:rFonts w:asciiTheme="majorHAnsi" w:hAnsiTheme="majorHAnsi" w:cstheme="majorHAnsi"/>
        <w:sz w:val="14"/>
        <w:szCs w:val="14"/>
      </w:rPr>
      <w:fldChar w:fldCharType="begin"/>
    </w:r>
    <w:r w:rsidRPr="00D91A1D">
      <w:rPr>
        <w:rStyle w:val="Seitenzahl"/>
        <w:rFonts w:asciiTheme="majorHAnsi" w:hAnsiTheme="majorHAnsi" w:cstheme="majorHAnsi"/>
        <w:sz w:val="14"/>
        <w:szCs w:val="14"/>
      </w:rPr>
      <w:instrText xml:space="preserve"> PAGE </w:instrText>
    </w:r>
    <w:r w:rsidRPr="00D91A1D">
      <w:rPr>
        <w:rStyle w:val="Seitenzahl"/>
        <w:rFonts w:asciiTheme="majorHAnsi" w:hAnsiTheme="majorHAnsi" w:cstheme="majorHAnsi"/>
        <w:sz w:val="14"/>
        <w:szCs w:val="14"/>
      </w:rPr>
      <w:fldChar w:fldCharType="separate"/>
    </w:r>
    <w:r w:rsidR="0088139C">
      <w:rPr>
        <w:rStyle w:val="Seitenzahl"/>
        <w:rFonts w:asciiTheme="majorHAnsi" w:hAnsiTheme="majorHAnsi" w:cstheme="majorHAnsi"/>
        <w:noProof/>
        <w:sz w:val="14"/>
        <w:szCs w:val="14"/>
      </w:rPr>
      <w:t>2</w:t>
    </w:r>
    <w:r w:rsidRPr="00D91A1D">
      <w:rPr>
        <w:rStyle w:val="Seitenzahl"/>
        <w:rFonts w:asciiTheme="majorHAnsi" w:hAnsiTheme="majorHAnsi" w:cstheme="majorHAnsi"/>
        <w:sz w:val="14"/>
        <w:szCs w:val="14"/>
      </w:rPr>
      <w:fldChar w:fldCharType="end"/>
    </w:r>
    <w:r>
      <w:rPr>
        <w:rStyle w:val="Seitenzahl"/>
        <w:rFonts w:asciiTheme="majorHAnsi" w:hAnsiTheme="majorHAnsi"/>
        <w:sz w:val="14"/>
        <w:szCs w:val="14"/>
      </w:rPr>
      <w:t>/</w:t>
    </w:r>
    <w:r w:rsidRPr="00D91A1D">
      <w:rPr>
        <w:rStyle w:val="Seitenzahl"/>
        <w:rFonts w:asciiTheme="majorHAnsi" w:hAnsiTheme="majorHAnsi" w:cstheme="majorHAnsi"/>
        <w:sz w:val="14"/>
        <w:szCs w:val="14"/>
      </w:rPr>
      <w:fldChar w:fldCharType="begin"/>
    </w:r>
    <w:r w:rsidRPr="00D91A1D">
      <w:rPr>
        <w:rStyle w:val="Seitenzahl"/>
        <w:rFonts w:asciiTheme="majorHAnsi" w:hAnsiTheme="majorHAnsi" w:cstheme="majorHAnsi"/>
        <w:sz w:val="14"/>
        <w:szCs w:val="14"/>
      </w:rPr>
      <w:instrText xml:space="preserve"> NUMPAGES </w:instrText>
    </w:r>
    <w:r w:rsidRPr="00D91A1D">
      <w:rPr>
        <w:rStyle w:val="Seitenzahl"/>
        <w:rFonts w:asciiTheme="majorHAnsi" w:hAnsiTheme="majorHAnsi" w:cstheme="majorHAnsi"/>
        <w:sz w:val="14"/>
        <w:szCs w:val="14"/>
      </w:rPr>
      <w:fldChar w:fldCharType="separate"/>
    </w:r>
    <w:r w:rsidR="0088139C">
      <w:rPr>
        <w:rStyle w:val="Seitenzahl"/>
        <w:rFonts w:asciiTheme="majorHAnsi" w:hAnsiTheme="majorHAnsi" w:cstheme="majorHAnsi"/>
        <w:noProof/>
        <w:sz w:val="14"/>
        <w:szCs w:val="14"/>
      </w:rPr>
      <w:t>2</w:t>
    </w:r>
    <w:r w:rsidRPr="00D91A1D">
      <w:rPr>
        <w:rStyle w:val="Seitenzahl"/>
        <w:rFonts w:asciiTheme="majorHAnsi" w:hAnsiTheme="majorHAnsi" w:cstheme="majorHAnsi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6A73B9" w14:textId="77777777" w:rsidR="007A70FF" w:rsidRDefault="007A70FF" w:rsidP="000A6539">
      <w:r>
        <w:separator/>
      </w:r>
    </w:p>
  </w:footnote>
  <w:footnote w:type="continuationSeparator" w:id="0">
    <w:p w14:paraId="08C92AAD" w14:textId="77777777" w:rsidR="007A70FF" w:rsidRDefault="007A70FF" w:rsidP="000A6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8BC56" w14:textId="77777777" w:rsidR="00CC611F" w:rsidRDefault="00CC611F" w:rsidP="00F257F3">
    <w:pPr>
      <w:pStyle w:val="Kopfzeile"/>
      <w:spacing w:line="80" w:lineRule="exact"/>
      <w:rPr>
        <w:szCs w:val="20"/>
      </w:rPr>
    </w:pPr>
  </w:p>
  <w:p w14:paraId="77BDF958" w14:textId="77777777" w:rsidR="00CC611F" w:rsidRDefault="00CC611F" w:rsidP="00F257F3">
    <w:pPr>
      <w:pStyle w:val="Kopfzeile"/>
      <w:spacing w:line="180" w:lineRule="exact"/>
      <w:rPr>
        <w:szCs w:val="20"/>
      </w:rPr>
    </w:pPr>
  </w:p>
  <w:tbl>
    <w:tblPr>
      <w:tblStyle w:val="Tabellenraster"/>
      <w:tblW w:w="5065" w:type="dxa"/>
      <w:tblInd w:w="52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65"/>
    </w:tblGrid>
    <w:tr w:rsidR="00CC611F" w14:paraId="60A65252" w14:textId="77777777" w:rsidTr="00A65D8A">
      <w:trPr>
        <w:trHeight w:val="361"/>
      </w:trPr>
      <w:tc>
        <w:tcPr>
          <w:tcW w:w="5065" w:type="dxa"/>
        </w:tcPr>
        <w:p w14:paraId="4E139775" w14:textId="77777777" w:rsidR="00CC611F" w:rsidRPr="002C5BCF" w:rsidRDefault="00CC611F" w:rsidP="00F257F3">
          <w:pPr>
            <w:tabs>
              <w:tab w:val="left" w:pos="360"/>
              <w:tab w:val="right" w:pos="4849"/>
            </w:tabs>
            <w:jc w:val="right"/>
            <w:rPr>
              <w:rFonts w:asciiTheme="majorHAnsi" w:hAnsiTheme="majorHAnsi" w:cstheme="majorHAnsi"/>
              <w:sz w:val="24"/>
            </w:rPr>
          </w:pPr>
          <w:r>
            <w:rPr>
              <w:rFonts w:asciiTheme="majorHAnsi" w:hAnsiTheme="majorHAnsi"/>
              <w:sz w:val="24"/>
            </w:rPr>
            <w:tab/>
          </w:r>
          <w:r>
            <w:rPr>
              <w:rFonts w:asciiTheme="majorHAnsi" w:hAnsiTheme="majorHAnsi"/>
              <w:sz w:val="24"/>
            </w:rPr>
            <w:tab/>
            <w:t xml:space="preserve">TEXAID </w:t>
          </w:r>
          <w:proofErr w:type="spellStart"/>
          <w:r>
            <w:rPr>
              <w:rFonts w:asciiTheme="majorHAnsi" w:hAnsiTheme="majorHAnsi"/>
              <w:sz w:val="24"/>
            </w:rPr>
            <w:t>Textilverwertungs</w:t>
          </w:r>
          <w:proofErr w:type="spellEnd"/>
          <w:r>
            <w:rPr>
              <w:rFonts w:asciiTheme="majorHAnsi" w:hAnsiTheme="majorHAnsi"/>
              <w:sz w:val="24"/>
            </w:rPr>
            <w:t>-AG</w:t>
          </w:r>
        </w:p>
      </w:tc>
    </w:tr>
    <w:tr w:rsidR="00CC611F" w14:paraId="0D50805B" w14:textId="77777777" w:rsidTr="00A65D8A">
      <w:trPr>
        <w:trHeight w:val="361"/>
      </w:trPr>
      <w:tc>
        <w:tcPr>
          <w:tcW w:w="5065" w:type="dxa"/>
        </w:tcPr>
        <w:p w14:paraId="67B1066D" w14:textId="77777777" w:rsidR="00CC611F" w:rsidRPr="002C5BCF" w:rsidRDefault="00CC611F" w:rsidP="00F257F3">
          <w:pPr>
            <w:jc w:val="right"/>
            <w:rPr>
              <w:rFonts w:asciiTheme="majorHAnsi" w:hAnsiTheme="majorHAnsi" w:cstheme="majorHAnsi"/>
              <w:sz w:val="24"/>
            </w:rPr>
          </w:pPr>
        </w:p>
      </w:tc>
    </w:tr>
  </w:tbl>
  <w:p w14:paraId="6458E717" w14:textId="77777777" w:rsidR="00CC611F" w:rsidRDefault="00CC611F" w:rsidP="00F257F3">
    <w:pPr>
      <w:pStyle w:val="Kopfzeile"/>
      <w:tabs>
        <w:tab w:val="clear" w:pos="9072"/>
        <w:tab w:val="right" w:pos="7230"/>
      </w:tabs>
      <w:spacing w:line="200" w:lineRule="exact"/>
      <w:rPr>
        <w:szCs w:val="20"/>
      </w:rPr>
    </w:pPr>
  </w:p>
  <w:sdt>
    <w:sdtPr>
      <w:rPr>
        <w:rFonts w:asciiTheme="majorHAnsi" w:hAnsiTheme="majorHAnsi" w:cstheme="majorHAnsi"/>
        <w:b/>
        <w:color w:val="000000" w:themeColor="text1"/>
      </w:rPr>
      <w:alias w:val="Titolo"/>
      <w:tag w:val="Titelzeile"/>
      <w:id w:val="1518964188"/>
    </w:sdtPr>
    <w:sdtEndPr/>
    <w:sdtContent>
      <w:sdt>
        <w:sdtPr>
          <w:rPr>
            <w:rFonts w:asciiTheme="majorHAnsi" w:hAnsiTheme="majorHAnsi" w:cstheme="majorHAnsi"/>
            <w:b/>
            <w:color w:val="000000" w:themeColor="text1"/>
            <w:sz w:val="24"/>
          </w:rPr>
          <w:alias w:val="Titolo"/>
          <w:tag w:val="Titelzeile"/>
          <w:id w:val="1018810837"/>
        </w:sdtPr>
        <w:sdtEndPr/>
        <w:sdtContent>
          <w:sdt>
            <w:sdtPr>
              <w:rPr>
                <w:rFonts w:asciiTheme="majorHAnsi" w:hAnsiTheme="majorHAnsi" w:cstheme="majorHAnsi"/>
                <w:b/>
                <w:color w:val="000000" w:themeColor="text1"/>
                <w:sz w:val="24"/>
              </w:rPr>
              <w:alias w:val="Titolo"/>
              <w:tag w:val="Titelzeile"/>
              <w:id w:val="113262801"/>
            </w:sdtPr>
            <w:sdtEndPr/>
            <w:sdtContent>
              <w:p w14:paraId="41A65ADC" w14:textId="77777777" w:rsidR="00CC611F" w:rsidRPr="00A81B36" w:rsidRDefault="00CC611F" w:rsidP="00F257F3">
                <w:pPr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</w:rPr>
                </w:pPr>
                <w:r>
                  <w:rPr>
                    <w:rFonts w:asciiTheme="majorHAnsi" w:hAnsiTheme="majorHAnsi"/>
                    <w:b/>
                    <w:color w:val="000000" w:themeColor="text1"/>
                    <w:sz w:val="24"/>
                  </w:rPr>
                  <w:t>Comunicato stampa</w:t>
                </w:r>
              </w:p>
            </w:sdtContent>
          </w:sdt>
        </w:sdtContent>
      </w:sdt>
    </w:sdtContent>
  </w:sdt>
  <w:sdt>
    <w:sdtPr>
      <w:rPr>
        <w:rFonts w:asciiTheme="majorHAnsi" w:hAnsiTheme="majorHAnsi" w:cstheme="majorHAnsi"/>
        <w:sz w:val="24"/>
      </w:rPr>
      <w:alias w:val="Sottotitolo"/>
      <w:tag w:val="Unterzeile"/>
      <w:id w:val="-1023855765"/>
    </w:sdtPr>
    <w:sdtEndPr/>
    <w:sdtContent>
      <w:sdt>
        <w:sdtPr>
          <w:rPr>
            <w:rFonts w:asciiTheme="majorHAnsi" w:hAnsiTheme="majorHAnsi" w:cstheme="majorHAnsi"/>
            <w:sz w:val="24"/>
          </w:rPr>
          <w:alias w:val="Sottotitolo"/>
          <w:tag w:val="Unterzeile"/>
          <w:id w:val="-764527281"/>
        </w:sdtPr>
        <w:sdtEndPr/>
        <w:sdtContent>
          <w:p w14:paraId="25F88D47" w14:textId="77777777" w:rsidR="00CC611F" w:rsidRPr="00A65D8A" w:rsidRDefault="00CC611F" w:rsidP="00F257F3">
            <w:p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1° ottobre 2018</w:t>
            </w:r>
          </w:p>
        </w:sdtContent>
      </w:sdt>
    </w:sdtContent>
  </w:sdt>
  <w:p w14:paraId="4B50B116" w14:textId="22679A51" w:rsidR="00CC611F" w:rsidRPr="00FE08FB" w:rsidRDefault="00CC611F" w:rsidP="002A1394">
    <w:pPr>
      <w:pStyle w:val="Kopfzeile"/>
      <w:tabs>
        <w:tab w:val="clear" w:pos="9072"/>
        <w:tab w:val="right" w:pos="7230"/>
      </w:tabs>
      <w:spacing w:line="200" w:lineRule="exact"/>
      <w:rPr>
        <w:rFonts w:asciiTheme="majorHAnsi" w:hAnsiTheme="majorHAnsi" w:cstheme="majorHAnsi"/>
        <w:spacing w:val="-1"/>
        <w:lang w:val="de-CH"/>
      </w:rPr>
    </w:pPr>
    <w:r w:rsidRPr="00FE08FB">
      <w:rPr>
        <w:lang w:val="de-CH"/>
      </w:rPr>
      <w:t xml:space="preserve"> </w:t>
    </w:r>
    <w:r w:rsidRPr="00FE08FB">
      <w:rPr>
        <w:lang w:val="de-CH"/>
      </w:rPr>
      <w:br/>
    </w:r>
    <w:r w:rsidRPr="00FE08FB">
      <w:rPr>
        <w:rFonts w:asciiTheme="majorHAnsi" w:hAnsiTheme="majorHAnsi"/>
        <w:color w:val="7F7F7F" w:themeColor="text2"/>
        <w:sz w:val="16"/>
        <w:szCs w:val="16"/>
        <w:lang w:val="de-CH"/>
      </w:rPr>
      <w:t xml:space="preserve">TEXAID Textilverwertungs-AG · Militärstrasse 1 · CH-6467 Schattdorf · www.texaid.ch </w:t>
    </w: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048F42D8" wp14:editId="07040D42">
              <wp:simplePos x="0" y="0"/>
              <wp:positionH relativeFrom="page">
                <wp:posOffset>713105</wp:posOffset>
              </wp:positionH>
              <wp:positionV relativeFrom="page">
                <wp:posOffset>1580515</wp:posOffset>
              </wp:positionV>
              <wp:extent cx="6480000" cy="0"/>
              <wp:effectExtent l="0" t="0" r="35560" b="19050"/>
              <wp:wrapNone/>
              <wp:docPr id="6" name="Lin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115D461" id="Line 33" o:spid="_x0000_s1026" style="position:absolute;z-index:2517043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15pt,124.45pt" to="566.4pt,1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" strokecolor="gray [1629]">
              <w10:wrap anchorx="page" anchory="page"/>
            </v:line>
          </w:pict>
        </mc:Fallback>
      </mc:AlternateContent>
    </w:r>
    <w:r>
      <w:rPr>
        <w:noProof/>
        <w:lang w:val="en-US" w:eastAsia="zh-CN"/>
      </w:rPr>
      <w:drawing>
        <wp:anchor distT="0" distB="0" distL="114300" distR="114300" simplePos="0" relativeHeight="251657216" behindDoc="0" locked="1" layoutInCell="1" allowOverlap="1" wp14:anchorId="417D6253" wp14:editId="0231D4F9">
          <wp:simplePos x="0" y="0"/>
          <wp:positionH relativeFrom="page">
            <wp:posOffset>723900</wp:posOffset>
          </wp:positionH>
          <wp:positionV relativeFrom="page">
            <wp:posOffset>543560</wp:posOffset>
          </wp:positionV>
          <wp:extent cx="1349375" cy="359410"/>
          <wp:effectExtent l="0" t="0" r="3175" b="254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chriftzug-ohne-Schutzraum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37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A68017" w14:textId="77777777" w:rsidR="00CC611F" w:rsidRPr="00FE08FB" w:rsidRDefault="00CC611F" w:rsidP="000A6539">
    <w:pPr>
      <w:pStyle w:val="Kopfzeile"/>
      <w:rPr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76CD5"/>
    <w:multiLevelType w:val="hybridMultilevel"/>
    <w:tmpl w:val="A008F06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7039AD"/>
    <w:multiLevelType w:val="hybridMultilevel"/>
    <w:tmpl w:val="9EC8CC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B4D"/>
    <w:rsid w:val="0004560B"/>
    <w:rsid w:val="00073D79"/>
    <w:rsid w:val="00075DA6"/>
    <w:rsid w:val="000769B4"/>
    <w:rsid w:val="000922C0"/>
    <w:rsid w:val="00095DAE"/>
    <w:rsid w:val="000A6539"/>
    <w:rsid w:val="000E0FB1"/>
    <w:rsid w:val="000E35DD"/>
    <w:rsid w:val="000F5861"/>
    <w:rsid w:val="00113214"/>
    <w:rsid w:val="00135AE1"/>
    <w:rsid w:val="00172E14"/>
    <w:rsid w:val="00186AF4"/>
    <w:rsid w:val="001B3B29"/>
    <w:rsid w:val="001C2FB2"/>
    <w:rsid w:val="00233995"/>
    <w:rsid w:val="00242316"/>
    <w:rsid w:val="00252CA4"/>
    <w:rsid w:val="00253759"/>
    <w:rsid w:val="00254F2A"/>
    <w:rsid w:val="00256ECB"/>
    <w:rsid w:val="00274C7A"/>
    <w:rsid w:val="00277A2E"/>
    <w:rsid w:val="002A1394"/>
    <w:rsid w:val="002B6471"/>
    <w:rsid w:val="002D49D8"/>
    <w:rsid w:val="0030438A"/>
    <w:rsid w:val="00335FB4"/>
    <w:rsid w:val="003B4204"/>
    <w:rsid w:val="003D338E"/>
    <w:rsid w:val="003D598A"/>
    <w:rsid w:val="00415F5A"/>
    <w:rsid w:val="00422A25"/>
    <w:rsid w:val="00426735"/>
    <w:rsid w:val="0044007D"/>
    <w:rsid w:val="00472854"/>
    <w:rsid w:val="00492CC7"/>
    <w:rsid w:val="004A7946"/>
    <w:rsid w:val="004D1AC6"/>
    <w:rsid w:val="004D2ACD"/>
    <w:rsid w:val="004D36E0"/>
    <w:rsid w:val="004E427B"/>
    <w:rsid w:val="004F4FA7"/>
    <w:rsid w:val="005B030F"/>
    <w:rsid w:val="005F33A2"/>
    <w:rsid w:val="0061446E"/>
    <w:rsid w:val="00624F9C"/>
    <w:rsid w:val="0064103E"/>
    <w:rsid w:val="00654E76"/>
    <w:rsid w:val="006565F0"/>
    <w:rsid w:val="00674581"/>
    <w:rsid w:val="00674FC9"/>
    <w:rsid w:val="00690C1B"/>
    <w:rsid w:val="006A730A"/>
    <w:rsid w:val="006C0BFF"/>
    <w:rsid w:val="006C3E4C"/>
    <w:rsid w:val="00705390"/>
    <w:rsid w:val="0073353B"/>
    <w:rsid w:val="007A703C"/>
    <w:rsid w:val="007A70FF"/>
    <w:rsid w:val="007C0788"/>
    <w:rsid w:val="007D5492"/>
    <w:rsid w:val="007E64C4"/>
    <w:rsid w:val="007F63C0"/>
    <w:rsid w:val="00801F32"/>
    <w:rsid w:val="008100B1"/>
    <w:rsid w:val="0088139C"/>
    <w:rsid w:val="00885B75"/>
    <w:rsid w:val="00896DDE"/>
    <w:rsid w:val="008A4C06"/>
    <w:rsid w:val="008B34AE"/>
    <w:rsid w:val="008B3FD2"/>
    <w:rsid w:val="008B5FA8"/>
    <w:rsid w:val="00905719"/>
    <w:rsid w:val="00907B4D"/>
    <w:rsid w:val="00920AFE"/>
    <w:rsid w:val="009375E2"/>
    <w:rsid w:val="0095429B"/>
    <w:rsid w:val="00957237"/>
    <w:rsid w:val="0097088E"/>
    <w:rsid w:val="00973201"/>
    <w:rsid w:val="00981E1B"/>
    <w:rsid w:val="009B78B7"/>
    <w:rsid w:val="009B7A39"/>
    <w:rsid w:val="009B7C23"/>
    <w:rsid w:val="009C5E87"/>
    <w:rsid w:val="009D6082"/>
    <w:rsid w:val="009D701A"/>
    <w:rsid w:val="009D73BD"/>
    <w:rsid w:val="00A1496F"/>
    <w:rsid w:val="00A222D3"/>
    <w:rsid w:val="00A41141"/>
    <w:rsid w:val="00A64547"/>
    <w:rsid w:val="00A65D8A"/>
    <w:rsid w:val="00A7563C"/>
    <w:rsid w:val="00A9225D"/>
    <w:rsid w:val="00A954DB"/>
    <w:rsid w:val="00AB2D64"/>
    <w:rsid w:val="00AD54A6"/>
    <w:rsid w:val="00AF20F5"/>
    <w:rsid w:val="00B07D77"/>
    <w:rsid w:val="00B635D4"/>
    <w:rsid w:val="00B75222"/>
    <w:rsid w:val="00B8663D"/>
    <w:rsid w:val="00BB3988"/>
    <w:rsid w:val="00BD789F"/>
    <w:rsid w:val="00BE21CD"/>
    <w:rsid w:val="00C01F35"/>
    <w:rsid w:val="00C06E29"/>
    <w:rsid w:val="00C16D39"/>
    <w:rsid w:val="00C65EE2"/>
    <w:rsid w:val="00C6729A"/>
    <w:rsid w:val="00CC611F"/>
    <w:rsid w:val="00CD3056"/>
    <w:rsid w:val="00D0366A"/>
    <w:rsid w:val="00D050BC"/>
    <w:rsid w:val="00D2003F"/>
    <w:rsid w:val="00D74B64"/>
    <w:rsid w:val="00D95579"/>
    <w:rsid w:val="00DE0BD3"/>
    <w:rsid w:val="00DE5786"/>
    <w:rsid w:val="00E0163B"/>
    <w:rsid w:val="00E31B5E"/>
    <w:rsid w:val="00E36E0E"/>
    <w:rsid w:val="00E40612"/>
    <w:rsid w:val="00E51FB3"/>
    <w:rsid w:val="00E5729B"/>
    <w:rsid w:val="00E636C9"/>
    <w:rsid w:val="00E665E8"/>
    <w:rsid w:val="00EB2342"/>
    <w:rsid w:val="00EF5A0F"/>
    <w:rsid w:val="00F014A8"/>
    <w:rsid w:val="00F11E2D"/>
    <w:rsid w:val="00F169A5"/>
    <w:rsid w:val="00F257F3"/>
    <w:rsid w:val="00F37FF1"/>
    <w:rsid w:val="00F560F3"/>
    <w:rsid w:val="00F912B2"/>
    <w:rsid w:val="00FB2067"/>
    <w:rsid w:val="00FD49EB"/>
    <w:rsid w:val="00FE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4108FA85"/>
  <w15:docId w15:val="{4426FDD3-030A-43CC-B625-E196A05CD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it-IT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C0788"/>
    <w:pPr>
      <w:spacing w:line="240" w:lineRule="auto"/>
      <w:jc w:val="both"/>
    </w:pPr>
    <w:rPr>
      <w:rFonts w:eastAsia="Times New Roman" w:cs="Times New Roman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0A6539"/>
    <w:pPr>
      <w:tabs>
        <w:tab w:val="center" w:pos="4536"/>
        <w:tab w:val="right" w:pos="9072"/>
      </w:tabs>
      <w:jc w:val="left"/>
    </w:pPr>
    <w:rPr>
      <w:rFonts w:eastAsiaTheme="minorHAnsi" w:cstheme="minorBidi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0A6539"/>
  </w:style>
  <w:style w:type="paragraph" w:styleId="Fuzeile">
    <w:name w:val="footer"/>
    <w:basedOn w:val="Standard"/>
    <w:link w:val="FuzeileZchn"/>
    <w:unhideWhenUsed/>
    <w:rsid w:val="000A6539"/>
    <w:pPr>
      <w:tabs>
        <w:tab w:val="center" w:pos="4536"/>
        <w:tab w:val="right" w:pos="9072"/>
      </w:tabs>
      <w:jc w:val="left"/>
    </w:pPr>
    <w:rPr>
      <w:rFonts w:eastAsiaTheme="minorHAnsi" w:cstheme="minorBidi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0A6539"/>
  </w:style>
  <w:style w:type="table" w:styleId="Tabellenraster">
    <w:name w:val="Table Grid"/>
    <w:basedOn w:val="NormaleTabelle"/>
    <w:rsid w:val="007C078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E51FB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320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3201"/>
    <w:rPr>
      <w:rFonts w:ascii="Segoe UI" w:eastAsia="Times New Roman" w:hAnsi="Segoe UI" w:cs="Segoe UI"/>
      <w:sz w:val="18"/>
      <w:szCs w:val="18"/>
      <w:lang w:val="it-IT" w:eastAsia="de-DE"/>
    </w:rPr>
  </w:style>
  <w:style w:type="character" w:styleId="Platzhaltertext">
    <w:name w:val="Placeholder Text"/>
    <w:basedOn w:val="Absatz-Standardschriftart"/>
    <w:uiPriority w:val="99"/>
    <w:semiHidden/>
    <w:rsid w:val="00F257F3"/>
  </w:style>
  <w:style w:type="character" w:styleId="Hyperlink">
    <w:name w:val="Hyperlink"/>
    <w:basedOn w:val="Absatz-Standardschriftart"/>
    <w:uiPriority w:val="99"/>
    <w:unhideWhenUsed/>
    <w:rsid w:val="00907B4D"/>
    <w:rPr>
      <w:color w:val="168BBA" w:themeColor="hyperlink"/>
      <w:u w:val="single"/>
    </w:rPr>
  </w:style>
  <w:style w:type="paragraph" w:styleId="Listenabsatz">
    <w:name w:val="List Paragraph"/>
    <w:basedOn w:val="Standard"/>
    <w:uiPriority w:val="34"/>
    <w:qFormat/>
    <w:rsid w:val="00907B4D"/>
    <w:pPr>
      <w:ind w:left="720"/>
      <w:contextualSpacing/>
      <w:jc w:val="left"/>
    </w:pPr>
    <w:rPr>
      <w:rFonts w:ascii="Gill Sans" w:hAnsi="Gill Sans"/>
      <w:sz w:val="24"/>
      <w:szCs w:val="20"/>
      <w:lang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905719"/>
    <w:rPr>
      <w:color w:val="680000" w:themeColor="followedHyperlink"/>
      <w:u w:val="single"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E5729B"/>
    <w:rPr>
      <w:color w:val="2B579A"/>
      <w:shd w:val="clear" w:color="auto" w:fill="E6E6E6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A7946"/>
    <w:rPr>
      <w:color w:val="808080"/>
      <w:shd w:val="clear" w:color="auto" w:fill="E6E6E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5375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5375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53759"/>
    <w:rPr>
      <w:rFonts w:eastAsia="Times New Roman" w:cs="Times New Roman"/>
      <w:sz w:val="20"/>
      <w:szCs w:val="20"/>
      <w:lang w:val="it-IT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5375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53759"/>
    <w:rPr>
      <w:rFonts w:eastAsia="Times New Roman" w:cs="Times New Roman"/>
      <w:b/>
      <w:bCs/>
      <w:sz w:val="20"/>
      <w:szCs w:val="20"/>
      <w:lang w:val="it-IT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E08F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xaid.de/nachhaltigkeitsbericht-201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ustainability@texaid.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essestelle@texaid.ch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TEXAID CI 2015">
      <a:dk1>
        <a:sysClr val="windowText" lastClr="000000"/>
      </a:dk1>
      <a:lt1>
        <a:sysClr val="window" lastClr="FFFFFF"/>
      </a:lt1>
      <a:dk2>
        <a:srgbClr val="7F7F7F"/>
      </a:dk2>
      <a:lt2>
        <a:srgbClr val="D4D4D6"/>
      </a:lt2>
      <a:accent1>
        <a:srgbClr val="E52326"/>
      </a:accent1>
      <a:accent2>
        <a:srgbClr val="052F63"/>
      </a:accent2>
      <a:accent3>
        <a:srgbClr val="BCCF00"/>
      </a:accent3>
      <a:accent4>
        <a:srgbClr val="575756"/>
      </a:accent4>
      <a:accent5>
        <a:srgbClr val="0A929F"/>
      </a:accent5>
      <a:accent6>
        <a:srgbClr val="F79646"/>
      </a:accent6>
      <a:hlink>
        <a:srgbClr val="168BBA"/>
      </a:hlink>
      <a:folHlink>
        <a:srgbClr val="680000"/>
      </a:folHlink>
    </a:clrScheme>
    <a:fontScheme name="ReSales Schriften">
      <a:majorFont>
        <a:latin typeface="Open Sans"/>
        <a:ea typeface=""/>
        <a:cs typeface=""/>
      </a:majorFont>
      <a:minorFont>
        <a:latin typeface="Open Sans Ligh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D850B-2E83-44BB-BC48-7AE97F4F1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Rahel Ziegler</dc:creator>
  <cp:keywords/>
  <dc:description>Übersetzungsbüro Terber &amp; Partner_x000d_
Spezialist für technische Übersetzungen_x000d_
Friedrich-Ebert-Str. 7_x000d_
D 48153 Münster_x000d_
Telefon: +49 (0) 251-52090-0_x000d_
Telefax: +49 (0) 251-52090-40_x000d_
www.terberundpartner.de_x000d_
e-Mail: info@terberundpartner.de</dc:description>
  <cp:lastModifiedBy>Rahel Ziegler</cp:lastModifiedBy>
  <cp:revision>32</cp:revision>
  <cp:lastPrinted>2018-09-27T11:06:00Z</cp:lastPrinted>
  <dcterms:created xsi:type="dcterms:W3CDTF">2018-09-19T06:04:00Z</dcterms:created>
  <dcterms:modified xsi:type="dcterms:W3CDTF">2018-09-27T11:11:00Z</dcterms:modified>
</cp:coreProperties>
</file>